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OCTAVO AÑO BÁSICO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(Ipad, Tablet o Notebook).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calculadora científica, lápices de colores, regla, sacapuntas, tijera y pegamento.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Carpeta con aco para guardar evaluaciones por asignaturas 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Matemática 8° básico, Proyecto SAVIA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Plataforma EDUTEN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Realizar pago directamente al área de Administración y Finanzas del colegio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8° básico, Proyecto SAVIA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Historia, Geografía y Ciencias Sociales 8° básico, Proyecto Savia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Lenguaje 8°Básico.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Clave Sendas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5840" w:w="12240" w:orient="portrait"/>
          <w:pgMar w:bottom="1417" w:top="2552" w:left="993" w:right="900" w:header="708" w:footer="181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29">
      <w:pPr>
        <w:spacing w:after="20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Cabe mencionar que las siguientes lecturas complementarias deben ser adquiridas en formato físico, debido a que no se trabajará en aula con formatos digitales.</w:t>
      </w: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565"/>
        <w:tblGridChange w:id="0">
          <w:tblGrid>
            <w:gridCol w:w="2460"/>
            <w:gridCol w:w="2460"/>
            <w:gridCol w:w="556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Lois Lowry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Number the Stars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DICCIONARIO OXFORD POCKET ESPAÑOL-INGLES/INGLES-ESPAÑOL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(Utilizado en cuarto básico).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David Lozano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Donde surgen las sombras.</w:t>
            </w:r>
            <w:hyperlink r:id="rId1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 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SM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Shakespeare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Romeo y Julieta. </w:t>
            </w:r>
            <w:hyperlink r:id="rId1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Zig- zag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Compilado de poemas Mario Benedetti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Será entregado por los docentes del departamento de Lengua y Literatura. 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Compilado de artículos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Será entregado por los docentes del departamento de Lengua y Literatura. </w:t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b w:val="1"/>
          <w:bCs w:val="1"/>
          <w:sz w:val="24"/>
          <w:szCs w:val="24"/>
        </w:rPr>
        <w:sectPr>
          <w:type w:val="nextPage"/>
          <w:pgSz w:h="15840" w:w="12240" w:orient="portrait"/>
          <w:pgMar w:bottom="1417" w:top="2552" w:left="993" w:right="900" w:header="708" w:footer="181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0"/>
        <w:gridCol w:w="4245"/>
        <w:gridCol w:w="2850"/>
        <w:tblGridChange w:id="0">
          <w:tblGrid>
            <w:gridCol w:w="3090"/>
            <w:gridCol w:w="4245"/>
            <w:gridCol w:w="285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lápices grafitos, un lápiz pasta color negro y azul, corrector líquido.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destacadores de colores distintos, mínimo.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IDIOMA EXTRANJERO: INGLÉS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cuadro grande debidamente marcado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Transportador, regla de 30 cms y compás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Block cuadriculado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medium 99 1/8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Científica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acco clip (debidamente marcado)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hojas, cuadro grande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 Blanco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aco clip (debidamente marcado con el curso y el nombre del estudiante y la asignatura)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Tabla periódica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cuaderno de croquis universitario (hoja blanca y anillado)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materiales se solicitarán durante el año, ya que no contamos con un espacio adecuado para almacenarlos. Cada pedido será comunicado con anticipación para su uso en clase.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lápices B2 – B4 – B6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pinceles 1-2-3- 4 – 6 – 8 (se recomienda pincel suave, redondo, que no sea de cerda rígida)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caja acrílico 12 colores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medio nº 99 ⅛ DOBLE FAZ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Sobre de cartulinas de colores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Pegamento en barra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hojas de calco (azul o negro) (en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plumones permanentes (pueden ser acrílicos o permanentes)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bastidor de pintura de 30x40cms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caja de colores tipo pastel oleoso (al menos 12 colores)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regla  30 cms (esperable metálica)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compás metálico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lápiz de carboncillo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B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solo  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, TECLADO,FLAUTA DULCE, UKELELE, CHARANGO, MELÓDICA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ED. FÍSICA Y SALUD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Buzo institucional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 azul ABS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Polera Ed. Física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Botella  para agua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Zapatillas deportivas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Implementos de aseo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Colette  o elástico para tomarse el pelo en las clases de Ed. Física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Croquera mediana.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2552" w:left="993" w:right="900" w:header="708" w:footer="181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-668633</wp:posOffset>
          </wp:positionH>
          <wp:positionV relativeFrom="paragraph">
            <wp:posOffset>-689534</wp:posOffset>
          </wp:positionV>
          <wp:extent cx="7841497" cy="1996967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-76813</wp:posOffset>
          </wp:positionV>
          <wp:extent cx="707390" cy="71056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-70463</wp:posOffset>
          </wp:positionH>
          <wp:positionV relativeFrom="paragraph">
            <wp:posOffset>-39984</wp:posOffset>
          </wp:positionV>
          <wp:extent cx="704850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yperlink" Target="https://tiendasm.cl/produccion/web/libro/2123" TargetMode="External"/><Relationship Id="rId12" Type="http://schemas.openxmlformats.org/officeDocument/2006/relationships/hyperlink" Target="https://www.amazon.com/Number-Stars-Lois-Lowry-ebook/dp/B003JFJHOS/ref=sr_1_1?crid=PH542AYIPBH0&amp;keywords=number+the+stars&amp;qid=1703082518&amp;sprefix=number+the+stars%2Caps%2C226&amp;sr=8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hyperlink" Target="https://www.zigzag.cl/romeo-y-julieta.html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